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90459" w14:textId="45FFD22B"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661EE4">
        <w:rPr>
          <w:rFonts w:ascii="Arial" w:eastAsia="Times New Roman" w:hAnsi="Arial"/>
          <w:b/>
          <w:bCs/>
          <w:sz w:val="24"/>
          <w:szCs w:val="24"/>
        </w:rPr>
        <w:t>6e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R2</w:t>
      </w:r>
      <w:r w:rsidR="002B6755">
        <w:rPr>
          <w:rFonts w:ascii="Arial" w:hAnsi="Arial" w:cs="Arial"/>
          <w:b/>
          <w:bCs/>
          <w:color w:val="000000" w:themeColor="text1"/>
          <w:sz w:val="26"/>
          <w:szCs w:val="26"/>
        </w:rPr>
        <w:t>-</w:t>
      </w:r>
      <w:r w:rsidR="65D59B6F" w:rsidRPr="58EC049B">
        <w:rPr>
          <w:rFonts w:ascii="Arial" w:hAnsi="Arial" w:cs="Arial"/>
          <w:b/>
          <w:bCs/>
          <w:color w:val="000000" w:themeColor="text1"/>
          <w:sz w:val="26"/>
          <w:szCs w:val="26"/>
        </w:rPr>
        <w:t>210</w:t>
      </w:r>
      <w:r w:rsidR="001B1369">
        <w:rPr>
          <w:rFonts w:ascii="Arial" w:hAnsi="Arial" w:cs="Arial"/>
          <w:b/>
          <w:bCs/>
          <w:color w:val="000000" w:themeColor="text1"/>
          <w:sz w:val="26"/>
          <w:szCs w:val="26"/>
        </w:rPr>
        <w:t>9640</w:t>
      </w:r>
    </w:p>
    <w:p w14:paraId="110EB4B6" w14:textId="05A4BBD3"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661EE4">
        <w:rPr>
          <w:rFonts w:ascii="Arial" w:hAnsi="Arial"/>
          <w:b/>
          <w:bCs/>
          <w:sz w:val="24"/>
          <w:szCs w:val="24"/>
          <w:lang w:eastAsia="zh-CN"/>
        </w:rPr>
        <w:t xml:space="preserve">Nov </w:t>
      </w:r>
      <w:r w:rsidR="00194E82">
        <w:rPr>
          <w:rFonts w:ascii="Arial" w:hAnsi="Arial"/>
          <w:b/>
          <w:bCs/>
          <w:sz w:val="24"/>
          <w:szCs w:val="24"/>
          <w:lang w:eastAsia="zh-CN"/>
        </w:rPr>
        <w:t>1</w:t>
      </w:r>
      <w:r w:rsidR="00194E82">
        <w:rPr>
          <w:rFonts w:ascii="Arial" w:hAnsi="Arial"/>
          <w:b/>
          <w:bCs/>
          <w:sz w:val="24"/>
          <w:szCs w:val="24"/>
          <w:vertAlign w:val="superscript"/>
          <w:lang w:eastAsia="zh-CN"/>
        </w:rPr>
        <w:t>st</w:t>
      </w:r>
      <w:r>
        <w:rPr>
          <w:rFonts w:ascii="Arial" w:hAnsi="Arial"/>
          <w:b/>
          <w:bCs/>
          <w:sz w:val="24"/>
          <w:szCs w:val="24"/>
          <w:lang w:eastAsia="zh-CN"/>
        </w:rPr>
        <w:t xml:space="preserve"> – </w:t>
      </w:r>
      <w:r w:rsidR="00194E82">
        <w:rPr>
          <w:rFonts w:ascii="Arial" w:hAnsi="Arial"/>
          <w:b/>
          <w:bCs/>
          <w:sz w:val="24"/>
          <w:szCs w:val="24"/>
          <w:lang w:eastAsia="zh-CN"/>
        </w:rPr>
        <w:t>Nov</w:t>
      </w:r>
      <w:r>
        <w:rPr>
          <w:rFonts w:ascii="Arial" w:hAnsi="Arial"/>
          <w:b/>
          <w:bCs/>
          <w:sz w:val="24"/>
          <w:szCs w:val="24"/>
          <w:lang w:eastAsia="zh-CN"/>
        </w:rPr>
        <w:t xml:space="preserve"> </w:t>
      </w:r>
      <w:r w:rsidR="00194E82">
        <w:rPr>
          <w:rFonts w:ascii="Arial" w:hAnsi="Arial"/>
          <w:b/>
          <w:bCs/>
          <w:sz w:val="24"/>
          <w:szCs w:val="24"/>
          <w:lang w:eastAsia="zh-CN"/>
        </w:rPr>
        <w:t>12</w:t>
      </w:r>
      <w:r>
        <w:rPr>
          <w:rFonts w:ascii="Arial" w:hAnsi="Arial"/>
          <w:b/>
          <w:bCs/>
          <w:sz w:val="24"/>
          <w:szCs w:val="24"/>
          <w:vertAlign w:val="superscript"/>
          <w:lang w:eastAsia="zh-CN"/>
        </w:rPr>
        <w:t>th</w:t>
      </w:r>
      <w:r w:rsidR="0063281F">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28BCF9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B727E8">
        <w:rPr>
          <w:rFonts w:ascii="Arial" w:eastAsia="MS Mincho" w:hAnsi="Arial" w:cs="Arial"/>
          <w:b/>
          <w:bCs/>
          <w:sz w:val="24"/>
          <w:szCs w:val="24"/>
        </w:rPr>
        <w:t>9.2.2</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503F4D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260906">
        <w:rPr>
          <w:rFonts w:ascii="Arial" w:eastAsia="Times New Roman" w:hAnsi="Arial" w:cs="Arial"/>
          <w:b/>
          <w:bCs/>
          <w:sz w:val="24"/>
        </w:rPr>
        <w:t>r</w:t>
      </w:r>
      <w:r w:rsidR="00260906" w:rsidRPr="00260906">
        <w:rPr>
          <w:rFonts w:ascii="Arial" w:eastAsia="Times New Roman" w:hAnsi="Arial" w:cs="Arial"/>
          <w:b/>
          <w:bCs/>
          <w:sz w:val="24"/>
        </w:rPr>
        <w:t xml:space="preserve">emaining </w:t>
      </w:r>
      <w:r w:rsidR="00260906">
        <w:rPr>
          <w:rFonts w:ascii="Arial" w:eastAsia="Times New Roman" w:hAnsi="Arial" w:cs="Arial"/>
          <w:b/>
          <w:bCs/>
          <w:sz w:val="24"/>
        </w:rPr>
        <w:t>i</w:t>
      </w:r>
      <w:r w:rsidR="00260906" w:rsidRPr="00260906">
        <w:rPr>
          <w:rFonts w:ascii="Arial" w:eastAsia="Times New Roman" w:hAnsi="Arial" w:cs="Arial"/>
          <w:b/>
          <w:bCs/>
          <w:sz w:val="24"/>
        </w:rPr>
        <w:t xml:space="preserve">ssues on </w:t>
      </w:r>
      <w:r w:rsidR="00B727E8" w:rsidRPr="00B727E8" w:rsidDel="00D80B9B">
        <w:rPr>
          <w:rFonts w:ascii="Arial" w:eastAsia="Times New Roman" w:hAnsi="Arial" w:cs="Arial"/>
          <w:b/>
          <w:bCs/>
          <w:sz w:val="24"/>
        </w:rPr>
        <w:t>non</w:t>
      </w:r>
      <w:r w:rsidR="00B727E8" w:rsidRPr="00B727E8" w:rsidDel="00E17D23">
        <w:rPr>
          <w:rFonts w:ascii="Arial" w:eastAsia="Times New Roman" w:hAnsi="Arial" w:cs="Arial"/>
          <w:b/>
          <w:bCs/>
          <w:sz w:val="24"/>
        </w:rPr>
        <w:t xml:space="preserve"> </w:t>
      </w:r>
      <w:r w:rsidR="00B727E8" w:rsidRPr="00B727E8">
        <w:rPr>
          <w:rFonts w:ascii="Arial" w:eastAsia="Times New Roman" w:hAnsi="Arial" w:cs="Arial"/>
          <w:b/>
          <w:bCs/>
          <w:sz w:val="24"/>
        </w:rPr>
        <w:t>continuous coverage</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022E905E"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B727E8">
        <w:rPr>
          <w:sz w:val="22"/>
          <w:szCs w:val="22"/>
        </w:rPr>
        <w:t>initial discussion on</w:t>
      </w:r>
      <w:r w:rsidR="00304B3D">
        <w:rPr>
          <w:sz w:val="22"/>
          <w:szCs w:val="22"/>
        </w:rPr>
        <w:t xml:space="preserve"> </w:t>
      </w:r>
      <w:r w:rsidR="00B727E8" w:rsidRPr="00B727E8" w:rsidDel="00E17D23">
        <w:rPr>
          <w:sz w:val="22"/>
          <w:szCs w:val="22"/>
        </w:rPr>
        <w:t xml:space="preserve">non </w:t>
      </w:r>
      <w:r w:rsidR="00B727E8" w:rsidRPr="00B727E8">
        <w:rPr>
          <w:sz w:val="22"/>
          <w:szCs w:val="22"/>
        </w:rPr>
        <w:t xml:space="preserve">continuous coverage </w:t>
      </w:r>
      <w:r w:rsidR="00304B3D">
        <w:rPr>
          <w:sz w:val="22"/>
          <w:szCs w:val="22"/>
        </w:rPr>
        <w:t>ha</w:t>
      </w:r>
      <w:r w:rsidR="00D80B9B">
        <w:rPr>
          <w:sz w:val="22"/>
          <w:szCs w:val="22"/>
        </w:rPr>
        <w:t>s</w:t>
      </w:r>
      <w:r w:rsidR="00304B3D">
        <w:rPr>
          <w:sz w:val="22"/>
          <w:szCs w:val="22"/>
        </w:rPr>
        <w:t xml:space="preserve"> been made</w:t>
      </w:r>
      <w:r w:rsidR="00B727E8">
        <w:rPr>
          <w:sz w:val="22"/>
          <w:szCs w:val="22"/>
        </w:rPr>
        <w:t>, and the following agreements were achieved</w:t>
      </w:r>
      <w:r w:rsidR="00304B3D">
        <w:rPr>
          <w:sz w:val="22"/>
          <w:szCs w:val="22"/>
        </w:rPr>
        <w:t>:</w:t>
      </w:r>
    </w:p>
    <w:p w14:paraId="48858765" w14:textId="77777777" w:rsidR="00B727E8" w:rsidRPr="00797893" w:rsidRDefault="00B727E8" w:rsidP="00B727E8">
      <w:pPr>
        <w:pStyle w:val="Agreement"/>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that this need to be taken into</w:t>
      </w:r>
      <w:r>
        <w:t xml:space="preserve"> account at least for Idle mode.</w:t>
      </w:r>
      <w:r w:rsidRPr="00D50105">
        <w:t xml:space="preserve"> </w:t>
      </w:r>
      <w:r>
        <w:t>The requirement</w:t>
      </w:r>
      <w:r w:rsidRPr="00D50105">
        <w:t xml:space="preserve"> is applicable for all reference scenarios (GEO, MEO and LEO</w:t>
      </w:r>
      <w:r>
        <w:t>)</w:t>
      </w:r>
      <w:r w:rsidRPr="00D50105">
        <w:t>.</w:t>
      </w:r>
    </w:p>
    <w:p w14:paraId="45A81086" w14:textId="77777777" w:rsidR="00B727E8" w:rsidRPr="00DD54BD" w:rsidRDefault="00B727E8" w:rsidP="00B727E8">
      <w:pPr>
        <w:pStyle w:val="Agreement"/>
        <w:rPr>
          <w:rFonts w:eastAsia="Arial"/>
          <w:color w:val="000000"/>
          <w:u w:val="single"/>
        </w:rPr>
      </w:pPr>
      <w:r>
        <w:t>Sattelite</w:t>
      </w:r>
      <w:r w:rsidRPr="00D50105">
        <w:t xml:space="preserve"> assistance </w:t>
      </w:r>
      <w:r>
        <w:t>information</w:t>
      </w:r>
      <w:r w:rsidRPr="00D50105">
        <w:t xml:space="preserve"> will be </w:t>
      </w:r>
      <w:r>
        <w:t xml:space="preserve">used by the </w:t>
      </w:r>
      <w:r w:rsidRPr="00D50105">
        <w:t xml:space="preserve">UE for </w:t>
      </w:r>
      <w:bookmarkStart w:id="1" w:name="_Hlk85376637"/>
      <w:r w:rsidRPr="00D50105">
        <w:t>predicting coverage discontinuity</w:t>
      </w:r>
      <w:bookmarkEnd w:id="1"/>
      <w:r>
        <w:t>.</w:t>
      </w:r>
      <w:r w:rsidRPr="00D50105">
        <w:t xml:space="preserve"> </w:t>
      </w:r>
      <w:bookmarkStart w:id="2" w:name="_Hlk85359530"/>
      <w:r w:rsidRPr="00D50105">
        <w:t>The details of th</w:t>
      </w:r>
      <w:r>
        <w:t xml:space="preserve">e assistance information </w:t>
      </w:r>
      <w:bookmarkEnd w:id="2"/>
      <w:r>
        <w:t>is FFS. FFS whether any applicable</w:t>
      </w:r>
      <w:r w:rsidRPr="00D50105">
        <w:t xml:space="preserve"> agreements made in NR-NTN</w:t>
      </w:r>
      <w:r>
        <w:t xml:space="preserve"> can be reused.</w:t>
      </w:r>
    </w:p>
    <w:p w14:paraId="5B8EAE8F" w14:textId="77777777" w:rsidR="00B727E8" w:rsidRDefault="00B727E8" w:rsidP="00B727E8">
      <w:pPr>
        <w:pStyle w:val="Agreement"/>
      </w:pPr>
      <w:r>
        <w:t xml:space="preserve">The details of UEs actions when predicted to be out of coverage is FFS, e.g. </w:t>
      </w:r>
      <w:r w:rsidRPr="00D50105">
        <w:t>stopping unnecessary cell search in the Idle mode</w:t>
      </w:r>
      <w:r>
        <w:t xml:space="preserve">, and FFS to what extent this need to be specified. </w:t>
      </w:r>
    </w:p>
    <w:p w14:paraId="0BCB818A" w14:textId="77777777" w:rsidR="00B727E8" w:rsidRDefault="00B727E8" w:rsidP="00B727E8">
      <w:pPr>
        <w:pStyle w:val="Agreement"/>
      </w:pPr>
      <w:r>
        <w:t>It is FFS to what extent it need to be specified the details of UE’s prediction of</w:t>
      </w:r>
      <w:r w:rsidRPr="00C479C2">
        <w:t xml:space="preserve"> discontinuous coverage and its ability to detect when it is back in coverage</w:t>
      </w:r>
      <w:r>
        <w:t>.</w:t>
      </w:r>
    </w:p>
    <w:p w14:paraId="45649D49" w14:textId="3FF2D35C" w:rsidR="00061387" w:rsidRDefault="00061387" w:rsidP="006D630F">
      <w:pPr>
        <w:rPr>
          <w:sz w:val="22"/>
          <w:szCs w:val="22"/>
        </w:rPr>
      </w:pPr>
    </w:p>
    <w:p w14:paraId="2B01AEBD" w14:textId="7715E3F5" w:rsidR="00653A6B" w:rsidRPr="00E63E56" w:rsidRDefault="00631FCD" w:rsidP="00653A6B">
      <w:pPr>
        <w:rPr>
          <w:sz w:val="22"/>
          <w:szCs w:val="22"/>
          <w:lang w:val="en-US"/>
        </w:rPr>
      </w:pPr>
      <w:r>
        <w:rPr>
          <w:sz w:val="22"/>
          <w:szCs w:val="22"/>
        </w:rPr>
        <w:t>W</w:t>
      </w:r>
      <w:r w:rsidR="00061387">
        <w:rPr>
          <w:sz w:val="22"/>
          <w:szCs w:val="22"/>
        </w:rPr>
        <w:t xml:space="preserve">e still have </w:t>
      </w:r>
      <w:r w:rsidR="00B727E8">
        <w:rPr>
          <w:sz w:val="22"/>
          <w:szCs w:val="22"/>
        </w:rPr>
        <w:t>several</w:t>
      </w:r>
      <w:r w:rsidR="00061387">
        <w:rPr>
          <w:sz w:val="22"/>
          <w:szCs w:val="22"/>
        </w:rPr>
        <w:t xml:space="preserve"> FFSs to resolve, e.</w:t>
      </w:r>
      <w:r w:rsidR="00B727E8">
        <w:rPr>
          <w:sz w:val="22"/>
          <w:szCs w:val="22"/>
        </w:rPr>
        <w:t>g.</w:t>
      </w:r>
      <w:r w:rsidR="00061387">
        <w:rPr>
          <w:sz w:val="22"/>
          <w:szCs w:val="22"/>
        </w:rPr>
        <w:t xml:space="preserve">, FFS on the </w:t>
      </w:r>
      <w:r w:rsidR="00B727E8" w:rsidRPr="00B727E8">
        <w:rPr>
          <w:sz w:val="22"/>
          <w:szCs w:val="22"/>
        </w:rPr>
        <w:t>details of the assistance information</w:t>
      </w:r>
      <w:r w:rsidR="00061387">
        <w:rPr>
          <w:sz w:val="22"/>
          <w:szCs w:val="22"/>
        </w:rPr>
        <w:t xml:space="preserve">, </w:t>
      </w:r>
      <w:r w:rsidR="00061387" w:rsidRPr="00061387">
        <w:rPr>
          <w:sz w:val="22"/>
          <w:szCs w:val="22"/>
        </w:rPr>
        <w:t xml:space="preserve">FFS </w:t>
      </w:r>
      <w:r w:rsidR="00B727E8">
        <w:rPr>
          <w:sz w:val="22"/>
          <w:szCs w:val="22"/>
        </w:rPr>
        <w:t xml:space="preserve">on the </w:t>
      </w:r>
      <w:r w:rsidR="00B727E8" w:rsidRPr="00B727E8">
        <w:rPr>
          <w:sz w:val="22"/>
          <w:szCs w:val="22"/>
        </w:rPr>
        <w:t>details of UEs actions when predicted to be out of coverage</w:t>
      </w:r>
      <w:r w:rsidR="00061387">
        <w:rPr>
          <w:sz w:val="22"/>
          <w:szCs w:val="22"/>
        </w:rPr>
        <w:t xml:space="preserve">. </w:t>
      </w:r>
      <w:r w:rsidR="00E63E56" w:rsidRPr="00E63E56">
        <w:rPr>
          <w:sz w:val="22"/>
          <w:szCs w:val="22"/>
          <w:lang w:val="en-US"/>
        </w:rPr>
        <w:t xml:space="preserve">In this contribution, we </w:t>
      </w:r>
      <w:r w:rsidR="00061387">
        <w:rPr>
          <w:sz w:val="22"/>
          <w:szCs w:val="22"/>
          <w:lang w:val="en-US"/>
        </w:rPr>
        <w:t>provide our views on these FFSs</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2F239E78" w14:textId="1DD7201F" w:rsidR="0056057C" w:rsidRDefault="004266D7" w:rsidP="00C32CE2">
      <w:pPr>
        <w:rPr>
          <w:sz w:val="22"/>
          <w:szCs w:val="22"/>
        </w:rPr>
      </w:pPr>
      <w:r>
        <w:rPr>
          <w:sz w:val="22"/>
          <w:szCs w:val="22"/>
        </w:rPr>
        <w:t xml:space="preserve">The </w:t>
      </w:r>
      <w:r w:rsidRPr="00B727E8">
        <w:rPr>
          <w:sz w:val="22"/>
          <w:szCs w:val="22"/>
        </w:rPr>
        <w:t xml:space="preserve">non continuous coverage </w:t>
      </w:r>
      <w:r>
        <w:rPr>
          <w:sz w:val="22"/>
          <w:szCs w:val="22"/>
        </w:rPr>
        <w:t>is a very useful feature that allows operators to use only one satellite to provide a global coverage for IoT devices</w:t>
      </w:r>
      <w:r w:rsidR="00B15D28">
        <w:rPr>
          <w:sz w:val="22"/>
          <w:szCs w:val="22"/>
        </w:rPr>
        <w:t>, but with a relatively long time</w:t>
      </w:r>
      <w:r w:rsidR="00DA6FE1" w:rsidRPr="00DA6FE1">
        <w:rPr>
          <w:sz w:val="22"/>
          <w:szCs w:val="22"/>
        </w:rPr>
        <w:t xml:space="preserve"> </w:t>
      </w:r>
      <w:r w:rsidR="00DA6FE1">
        <w:rPr>
          <w:sz w:val="22"/>
          <w:szCs w:val="22"/>
        </w:rPr>
        <w:t xml:space="preserve">considering earth’s self-rotation </w:t>
      </w:r>
      <w:r w:rsidR="00755A99">
        <w:rPr>
          <w:sz w:val="22"/>
          <w:szCs w:val="22"/>
        </w:rPr>
        <w:t>takes 24 hours and a satellite’s orbit</w:t>
      </w:r>
      <w:r w:rsidR="0047474E">
        <w:rPr>
          <w:sz w:val="22"/>
          <w:szCs w:val="22"/>
        </w:rPr>
        <w:t>al periodicity may be</w:t>
      </w:r>
      <w:r w:rsidR="00634B43">
        <w:rPr>
          <w:sz w:val="22"/>
          <w:szCs w:val="22"/>
        </w:rPr>
        <w:t xml:space="preserve"> </w:t>
      </w:r>
      <w:r w:rsidR="0047474E">
        <w:rPr>
          <w:sz w:val="22"/>
          <w:szCs w:val="22"/>
        </w:rPr>
        <w:t>less than 2 hours</w:t>
      </w:r>
      <w:r>
        <w:rPr>
          <w:sz w:val="22"/>
          <w:szCs w:val="22"/>
        </w:rPr>
        <w:t xml:space="preserve">. In this case it’s more likely to be a </w:t>
      </w:r>
      <w:r w:rsidR="0056057C">
        <w:rPr>
          <w:sz w:val="22"/>
          <w:szCs w:val="22"/>
        </w:rPr>
        <w:t xml:space="preserve">LEO </w:t>
      </w:r>
      <w:r>
        <w:rPr>
          <w:sz w:val="22"/>
          <w:szCs w:val="22"/>
        </w:rPr>
        <w:t>satellite with moving beams, and as it slides over the earth the IoT devices within the coverage can be served.</w:t>
      </w:r>
    </w:p>
    <w:p w14:paraId="03201346" w14:textId="40A46FF0" w:rsidR="0056057C" w:rsidRDefault="0056057C" w:rsidP="00C32CE2">
      <w:pPr>
        <w:rPr>
          <w:sz w:val="22"/>
          <w:szCs w:val="22"/>
        </w:rPr>
      </w:pPr>
      <w:r>
        <w:rPr>
          <w:sz w:val="22"/>
          <w:szCs w:val="22"/>
        </w:rPr>
        <w:t>According to the following description in [1]:</w:t>
      </w:r>
    </w:p>
    <w:tbl>
      <w:tblPr>
        <w:tblStyle w:val="TableGrid"/>
        <w:tblW w:w="0" w:type="auto"/>
        <w:tblLook w:val="04A0" w:firstRow="1" w:lastRow="0" w:firstColumn="1" w:lastColumn="0" w:noHBand="0" w:noVBand="1"/>
      </w:tblPr>
      <w:tblGrid>
        <w:gridCol w:w="9350"/>
      </w:tblGrid>
      <w:tr w:rsidR="0056057C" w14:paraId="32620F17" w14:textId="77777777" w:rsidTr="0056057C">
        <w:tc>
          <w:tcPr>
            <w:tcW w:w="9350" w:type="dxa"/>
          </w:tcPr>
          <w:p w14:paraId="305BAE43" w14:textId="77777777" w:rsidR="0056057C" w:rsidRPr="00902C22" w:rsidRDefault="0056057C" w:rsidP="0056057C">
            <w:r w:rsidRPr="00902C22">
              <w:t>The following figure illustrates the geometrical coverage for a LEO satellite and for geostationary-satellites:</w:t>
            </w:r>
          </w:p>
          <w:bookmarkStart w:id="3" w:name="_MON_1637137172"/>
          <w:bookmarkEnd w:id="3"/>
          <w:p w14:paraId="48390FC3" w14:textId="77777777" w:rsidR="0056057C" w:rsidRDefault="0056057C" w:rsidP="0056057C">
            <w:pPr>
              <w:pStyle w:val="TH"/>
            </w:pPr>
            <w:r>
              <w:object w:dxaOrig="5071" w:dyaOrig="3077" w14:anchorId="09D44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pt;height:153pt" o:ole="">
                  <v:imagedata r:id="rId11" o:title=""/>
                </v:shape>
                <o:OLEObject Type="Embed" ProgID="Word.Picture.8" ShapeID="_x0000_i1025" DrawAspect="Content" ObjectID="_1696362229" r:id="rId12"/>
              </w:object>
            </w:r>
          </w:p>
          <w:p w14:paraId="1441FBA8" w14:textId="77777777" w:rsidR="0056057C" w:rsidRPr="00963996" w:rsidRDefault="0056057C" w:rsidP="0056057C">
            <w:pPr>
              <w:rPr>
                <w:rFonts w:ascii="Arial" w:eastAsia="Times New Roman" w:hAnsi="Arial"/>
                <w:b/>
              </w:rPr>
            </w:pPr>
            <w:r w:rsidRPr="00963996">
              <w:rPr>
                <w:rFonts w:ascii="Arial" w:eastAsia="Times New Roman" w:hAnsi="Arial"/>
                <w:b/>
              </w:rPr>
              <w:t>Figure A.3-2: Illustration of the geometrical coverage of a LEO satellite and of GEO satellites</w:t>
            </w:r>
          </w:p>
          <w:p w14:paraId="7B5C5318" w14:textId="77777777" w:rsidR="0056057C" w:rsidRPr="00902C22" w:rsidRDefault="0056057C" w:rsidP="0056057C">
            <w:r w:rsidRPr="00902C22">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bookmarkStart w:id="4" w:name="_MON_1637137287"/>
          <w:bookmarkEnd w:id="4"/>
          <w:p w14:paraId="1FECA71F" w14:textId="77777777" w:rsidR="0056057C" w:rsidRDefault="0056057C" w:rsidP="0056057C">
            <w:pPr>
              <w:pStyle w:val="TH"/>
            </w:pPr>
            <w:r>
              <w:object w:dxaOrig="4501" w:dyaOrig="1743" w14:anchorId="426016ED">
                <v:shape id="_x0000_i1026" type="#_x0000_t75" style="width:225pt;height:87pt" o:ole="">
                  <v:imagedata r:id="rId13" o:title=""/>
                </v:shape>
                <o:OLEObject Type="Embed" ProgID="Word.Picture.8" ShapeID="_x0000_i1026" DrawAspect="Content" ObjectID="_1696362230" r:id="rId14"/>
              </w:object>
            </w:r>
          </w:p>
          <w:p w14:paraId="0E6ACDB3" w14:textId="600D8501" w:rsidR="0056057C" w:rsidRPr="0056057C" w:rsidRDefault="0056057C" w:rsidP="0056057C">
            <w:pPr>
              <w:pStyle w:val="TF"/>
            </w:pPr>
            <w:r w:rsidRPr="00902C22">
              <w:t>Figure A.3-4: Illustration of number satellites in a constellation for continuous Earth coverage</w:t>
            </w:r>
          </w:p>
        </w:tc>
      </w:tr>
    </w:tbl>
    <w:p w14:paraId="7F6732C9" w14:textId="77777777" w:rsidR="0056057C" w:rsidRDefault="0056057C" w:rsidP="00C32CE2">
      <w:pPr>
        <w:rPr>
          <w:sz w:val="22"/>
          <w:szCs w:val="22"/>
        </w:rPr>
      </w:pPr>
    </w:p>
    <w:p w14:paraId="7385828B" w14:textId="4EE2D88D" w:rsidR="0056057C" w:rsidRDefault="00963996" w:rsidP="00963996">
      <w:pPr>
        <w:pStyle w:val="TF"/>
        <w:jc w:val="left"/>
        <w:rPr>
          <w:rFonts w:ascii="Times New Roman" w:eastAsia="Malgun Gothic" w:hAnsi="Times New Roman"/>
          <w:b w:val="0"/>
          <w:sz w:val="22"/>
          <w:szCs w:val="22"/>
        </w:rPr>
      </w:pPr>
      <w:r w:rsidRPr="00963996">
        <w:rPr>
          <w:rFonts w:ascii="Times New Roman" w:eastAsia="Malgun Gothic" w:hAnsi="Times New Roman"/>
          <w:b w:val="0"/>
          <w:sz w:val="22"/>
          <w:szCs w:val="22"/>
        </w:rPr>
        <w:t>We can see that the geometrical coverage for a LEO satellite</w:t>
      </w:r>
      <w:r>
        <w:rPr>
          <w:rFonts w:ascii="Times New Roman" w:eastAsia="Malgun Gothic" w:hAnsi="Times New Roman"/>
          <w:b w:val="0"/>
          <w:sz w:val="22"/>
          <w:szCs w:val="22"/>
        </w:rPr>
        <w:t xml:space="preserve"> is approximately a circle with a several hundreds of kilometres radius. And to guarantee a continuous coverage with </w:t>
      </w:r>
      <w:r w:rsidR="005A6732">
        <w:rPr>
          <w:rFonts w:ascii="Times New Roman" w:eastAsia="Malgun Gothic" w:hAnsi="Times New Roman"/>
          <w:b w:val="0"/>
          <w:sz w:val="22"/>
          <w:szCs w:val="22"/>
        </w:rPr>
        <w:t xml:space="preserve">a </w:t>
      </w:r>
      <w:r>
        <w:rPr>
          <w:rFonts w:ascii="Times New Roman" w:eastAsia="Malgun Gothic" w:hAnsi="Times New Roman"/>
          <w:b w:val="0"/>
          <w:sz w:val="22"/>
          <w:szCs w:val="22"/>
        </w:rPr>
        <w:t>800km altitude LEO satellites, up to 80 satellites are needed.</w:t>
      </w:r>
    </w:p>
    <w:p w14:paraId="21C47C17" w14:textId="28E88F9F" w:rsidR="00EC0DF0" w:rsidRDefault="00814011" w:rsidP="00963996">
      <w:pPr>
        <w:pStyle w:val="TF"/>
        <w:jc w:val="left"/>
        <w:rPr>
          <w:rFonts w:ascii="Times New Roman" w:eastAsia="Malgun Gothic" w:hAnsi="Times New Roman"/>
          <w:b w:val="0"/>
          <w:sz w:val="22"/>
          <w:szCs w:val="22"/>
        </w:rPr>
      </w:pPr>
      <w:r>
        <w:rPr>
          <w:rFonts w:ascii="Times New Roman" w:eastAsia="Malgun Gothic" w:hAnsi="Times New Roman"/>
          <w:b w:val="0"/>
          <w:sz w:val="22"/>
          <w:szCs w:val="22"/>
        </w:rPr>
        <w:t>With the ephemeris information, UE can know where the satellite is at any time, then it can also calculate the position of sub-satellite point, i.e., the</w:t>
      </w:r>
      <w:r w:rsidRPr="00814011">
        <w:rPr>
          <w:rFonts w:ascii="Times New Roman" w:eastAsia="Malgun Gothic" w:hAnsi="Times New Roman"/>
          <w:b w:val="0"/>
          <w:sz w:val="22"/>
          <w:szCs w:val="22"/>
        </w:rPr>
        <w:t xml:space="preserve"> point on the Earth's surface directly below the satellite.</w:t>
      </w:r>
      <w:r w:rsidR="003F4DE6">
        <w:rPr>
          <w:rFonts w:ascii="Times New Roman" w:eastAsia="Malgun Gothic" w:hAnsi="Times New Roman"/>
          <w:b w:val="0"/>
          <w:sz w:val="22"/>
          <w:szCs w:val="22"/>
        </w:rPr>
        <w:t xml:space="preserve"> When we assume the </w:t>
      </w:r>
      <w:r w:rsidR="003F4DE6" w:rsidRPr="00963996">
        <w:rPr>
          <w:rFonts w:ascii="Times New Roman" w:eastAsia="Malgun Gothic" w:hAnsi="Times New Roman"/>
          <w:b w:val="0"/>
          <w:sz w:val="22"/>
          <w:szCs w:val="22"/>
        </w:rPr>
        <w:t>geometrical coverage for a LEO satellite</w:t>
      </w:r>
      <w:r w:rsidR="003F4DE6">
        <w:rPr>
          <w:rFonts w:ascii="Times New Roman" w:eastAsia="Malgun Gothic" w:hAnsi="Times New Roman"/>
          <w:b w:val="0"/>
          <w:sz w:val="22"/>
          <w:szCs w:val="22"/>
        </w:rPr>
        <w:t xml:space="preserve"> is approximately a circle, the sub-satellite point is the </w:t>
      </w:r>
      <w:r w:rsidR="005A6732">
        <w:rPr>
          <w:rFonts w:ascii="Times New Roman" w:eastAsia="Malgun Gothic" w:hAnsi="Times New Roman"/>
          <w:b w:val="0"/>
          <w:sz w:val="22"/>
          <w:szCs w:val="22"/>
        </w:rPr>
        <w:t xml:space="preserve">circle </w:t>
      </w:r>
      <w:r w:rsidR="003F4DE6">
        <w:rPr>
          <w:rFonts w:ascii="Times New Roman" w:eastAsia="Malgun Gothic" w:hAnsi="Times New Roman"/>
          <w:b w:val="0"/>
          <w:sz w:val="22"/>
          <w:szCs w:val="22"/>
        </w:rPr>
        <w:t xml:space="preserve">centre. </w:t>
      </w:r>
      <w:r w:rsidR="00EC0DF0">
        <w:rPr>
          <w:rFonts w:ascii="Times New Roman" w:eastAsia="Malgun Gothic" w:hAnsi="Times New Roman"/>
          <w:b w:val="0"/>
          <w:sz w:val="22"/>
          <w:szCs w:val="22"/>
        </w:rPr>
        <w:t xml:space="preserve">If the radius can also be provided to UE, it will be clear to UE whether it is in coverage or out of coverage. And UE can also predict </w:t>
      </w:r>
      <w:r w:rsidR="00EC0DF0" w:rsidRPr="00EC0DF0">
        <w:rPr>
          <w:rFonts w:ascii="Times New Roman" w:eastAsia="Malgun Gothic" w:hAnsi="Times New Roman"/>
          <w:b w:val="0"/>
          <w:sz w:val="22"/>
          <w:szCs w:val="22"/>
        </w:rPr>
        <w:t>coverage discontinuity</w:t>
      </w:r>
      <w:r w:rsidR="00EC0DF0">
        <w:rPr>
          <w:rFonts w:ascii="Times New Roman" w:eastAsia="Malgun Gothic" w:hAnsi="Times New Roman"/>
          <w:b w:val="0"/>
          <w:sz w:val="22"/>
          <w:szCs w:val="22"/>
        </w:rPr>
        <w:t xml:space="preserve"> based on ephemeris with orbital information and </w:t>
      </w:r>
      <w:r w:rsidR="00EC0DF0" w:rsidRPr="00963996">
        <w:rPr>
          <w:rFonts w:ascii="Times New Roman" w:eastAsia="Malgun Gothic" w:hAnsi="Times New Roman"/>
          <w:b w:val="0"/>
          <w:sz w:val="22"/>
          <w:szCs w:val="22"/>
        </w:rPr>
        <w:t xml:space="preserve">geometrical </w:t>
      </w:r>
      <w:r w:rsidR="00EC0DF0">
        <w:rPr>
          <w:rFonts w:ascii="Times New Roman" w:eastAsia="Malgun Gothic" w:hAnsi="Times New Roman"/>
          <w:b w:val="0"/>
          <w:sz w:val="22"/>
          <w:szCs w:val="22"/>
        </w:rPr>
        <w:t>coverage radius of a satellite.</w:t>
      </w:r>
    </w:p>
    <w:p w14:paraId="5545CD72" w14:textId="28A5FB7D" w:rsidR="00EC0DF0" w:rsidRPr="00EC0DF0" w:rsidRDefault="00EC0DF0" w:rsidP="00963996">
      <w:pPr>
        <w:pStyle w:val="TF"/>
        <w:jc w:val="left"/>
        <w:rPr>
          <w:rFonts w:ascii="Times New Roman" w:eastAsia="Malgun Gothic" w:hAnsi="Times New Roman"/>
          <w:bCs/>
          <w:sz w:val="22"/>
          <w:szCs w:val="22"/>
        </w:rPr>
      </w:pPr>
      <w:r w:rsidRPr="00EC0DF0">
        <w:rPr>
          <w:rFonts w:ascii="Times New Roman" w:eastAsia="Malgun Gothic" w:hAnsi="Times New Roman"/>
          <w:bCs/>
          <w:sz w:val="22"/>
          <w:szCs w:val="22"/>
        </w:rPr>
        <w:t>Observation 1: UE can predict coverage discontinuity based on ephemeris with orbital information and geometrical coverage radius of a satellite.</w:t>
      </w:r>
    </w:p>
    <w:p w14:paraId="2FA7A8F7" w14:textId="13606DA0" w:rsidR="00814011" w:rsidRDefault="003F4DE6" w:rsidP="00963996">
      <w:pPr>
        <w:pStyle w:val="TF"/>
        <w:jc w:val="left"/>
        <w:rPr>
          <w:rFonts w:ascii="Times New Roman" w:eastAsia="Malgun Gothic" w:hAnsi="Times New Roman"/>
          <w:b w:val="0"/>
          <w:sz w:val="22"/>
          <w:szCs w:val="22"/>
        </w:rPr>
      </w:pPr>
      <w:r>
        <w:rPr>
          <w:rFonts w:ascii="Times New Roman" w:eastAsia="Malgun Gothic" w:hAnsi="Times New Roman"/>
          <w:b w:val="0"/>
          <w:sz w:val="22"/>
          <w:szCs w:val="22"/>
        </w:rPr>
        <w:t>When estimating the coverage of a satellite, usually the elevation angle is used as a condition. For instance, the condition “</w:t>
      </w:r>
      <w:r w:rsidRPr="003F4DE6">
        <w:rPr>
          <w:rFonts w:ascii="Times New Roman" w:eastAsia="Malgun Gothic" w:hAnsi="Times New Roman"/>
          <w:b w:val="0"/>
          <w:sz w:val="22"/>
          <w:szCs w:val="22"/>
        </w:rPr>
        <w:t>an elevation angle ranging from 5 to 10 degrees</w:t>
      </w:r>
      <w:r w:rsidR="00EC0DF0">
        <w:rPr>
          <w:rFonts w:ascii="Times New Roman" w:eastAsia="Malgun Gothic" w:hAnsi="Times New Roman"/>
          <w:b w:val="0"/>
          <w:sz w:val="22"/>
          <w:szCs w:val="22"/>
        </w:rPr>
        <w:t>” is used as above. And t</w:t>
      </w:r>
      <w:r>
        <w:rPr>
          <w:rFonts w:ascii="Times New Roman" w:eastAsia="Malgun Gothic" w:hAnsi="Times New Roman"/>
          <w:b w:val="0"/>
          <w:sz w:val="22"/>
          <w:szCs w:val="22"/>
        </w:rPr>
        <w:t xml:space="preserve">he elevation angle </w:t>
      </w:r>
      <w:r w:rsidR="005A6732">
        <w:rPr>
          <w:rFonts w:ascii="Times New Roman" w:eastAsia="Malgun Gothic" w:hAnsi="Times New Roman"/>
          <w:b w:val="0"/>
          <w:sz w:val="22"/>
          <w:szCs w:val="22"/>
        </w:rPr>
        <w:t xml:space="preserve">concept </w:t>
      </w:r>
      <w:r>
        <w:rPr>
          <w:rFonts w:ascii="Times New Roman" w:eastAsia="Malgun Gothic" w:hAnsi="Times New Roman"/>
          <w:b w:val="0"/>
          <w:sz w:val="22"/>
          <w:szCs w:val="22"/>
        </w:rPr>
        <w:t>is illustrated in the following figure</w:t>
      </w:r>
      <w:r w:rsidR="005A6732">
        <w:rPr>
          <w:rFonts w:ascii="Times New Roman" w:eastAsia="Malgun Gothic" w:hAnsi="Times New Roman"/>
          <w:b w:val="0"/>
          <w:sz w:val="22"/>
          <w:szCs w:val="22"/>
        </w:rPr>
        <w:t xml:space="preserve"> [1]</w:t>
      </w:r>
      <w:r>
        <w:rPr>
          <w:rFonts w:ascii="Times New Roman" w:eastAsia="Malgun Gothic" w:hAnsi="Times New Roman"/>
          <w:b w:val="0"/>
          <w:sz w:val="22"/>
          <w:szCs w:val="22"/>
        </w:rPr>
        <w:t>.</w:t>
      </w:r>
    </w:p>
    <w:tbl>
      <w:tblPr>
        <w:tblStyle w:val="TableGrid"/>
        <w:tblW w:w="0" w:type="auto"/>
        <w:tblLook w:val="04A0" w:firstRow="1" w:lastRow="0" w:firstColumn="1" w:lastColumn="0" w:noHBand="0" w:noVBand="1"/>
      </w:tblPr>
      <w:tblGrid>
        <w:gridCol w:w="9350"/>
      </w:tblGrid>
      <w:tr w:rsidR="003F4DE6" w14:paraId="68302CA3" w14:textId="77777777" w:rsidTr="003F4DE6">
        <w:tc>
          <w:tcPr>
            <w:tcW w:w="9350" w:type="dxa"/>
          </w:tcPr>
          <w:bookmarkStart w:id="5" w:name="_MON_1637137138"/>
          <w:bookmarkEnd w:id="5"/>
          <w:p w14:paraId="3657B4E2" w14:textId="77777777" w:rsidR="003F4DE6" w:rsidRDefault="003F4DE6" w:rsidP="003F4DE6">
            <w:pPr>
              <w:pStyle w:val="TH"/>
            </w:pPr>
            <w:r>
              <w:object w:dxaOrig="4246" w:dyaOrig="2932" w14:anchorId="1B2D5D0E">
                <v:shape id="_x0000_i1027" type="#_x0000_t75" style="width:212.4pt;height:145.2pt" o:ole="">
                  <v:imagedata r:id="rId15" o:title=""/>
                </v:shape>
                <o:OLEObject Type="Embed" ProgID="Word.Picture.8" ShapeID="_x0000_i1027" DrawAspect="Content" ObjectID="_1696362231" r:id="rId16"/>
              </w:object>
            </w:r>
          </w:p>
          <w:p w14:paraId="5D4982EA" w14:textId="07A20181" w:rsidR="003F4DE6" w:rsidRPr="003F4DE6" w:rsidRDefault="003F4DE6" w:rsidP="003F4DE6">
            <w:pPr>
              <w:pStyle w:val="TF"/>
            </w:pPr>
            <w:r w:rsidRPr="00902C22">
              <w:t>Figure A.3-1: Illustration of the geometrical coverage of a satellite</w:t>
            </w:r>
          </w:p>
        </w:tc>
      </w:tr>
    </w:tbl>
    <w:p w14:paraId="59B6074A" w14:textId="77777777" w:rsidR="003F4DE6" w:rsidRPr="00963996" w:rsidRDefault="003F4DE6" w:rsidP="00963996">
      <w:pPr>
        <w:pStyle w:val="TF"/>
        <w:jc w:val="left"/>
        <w:rPr>
          <w:rFonts w:ascii="Times New Roman" w:eastAsia="Malgun Gothic" w:hAnsi="Times New Roman"/>
          <w:b w:val="0"/>
          <w:sz w:val="22"/>
          <w:szCs w:val="22"/>
        </w:rPr>
      </w:pPr>
    </w:p>
    <w:p w14:paraId="35DA2D8C" w14:textId="246B0188" w:rsidR="0056057C" w:rsidRDefault="00EC0DF0" w:rsidP="00C32CE2">
      <w:pPr>
        <w:rPr>
          <w:sz w:val="22"/>
          <w:szCs w:val="22"/>
        </w:rPr>
      </w:pPr>
      <w:r>
        <w:rPr>
          <w:sz w:val="22"/>
          <w:szCs w:val="22"/>
        </w:rPr>
        <w:t xml:space="preserve">So when UE would like to </w:t>
      </w:r>
      <w:r w:rsidRPr="00EC0DF0">
        <w:rPr>
          <w:sz w:val="22"/>
          <w:szCs w:val="22"/>
        </w:rPr>
        <w:t>predict coverage discontinuity</w:t>
      </w:r>
      <w:r>
        <w:rPr>
          <w:sz w:val="22"/>
          <w:szCs w:val="22"/>
        </w:rPr>
        <w:t>, the elevation angle</w:t>
      </w:r>
      <w:r w:rsidR="008B6DDD">
        <w:rPr>
          <w:sz w:val="22"/>
          <w:szCs w:val="22"/>
        </w:rPr>
        <w:t xml:space="preserve"> can </w:t>
      </w:r>
      <w:r w:rsidR="005A6732">
        <w:rPr>
          <w:sz w:val="22"/>
          <w:szCs w:val="22"/>
        </w:rPr>
        <w:t xml:space="preserve">also </w:t>
      </w:r>
      <w:r w:rsidR="008B6DDD">
        <w:rPr>
          <w:sz w:val="22"/>
          <w:szCs w:val="22"/>
        </w:rPr>
        <w:t xml:space="preserve">be used to evaluate whether UE is in coverage or out of coverage. The larger an elevation angle threshold is, the smaller coverage a satellite </w:t>
      </w:r>
      <w:r w:rsidR="005A6732">
        <w:rPr>
          <w:sz w:val="22"/>
          <w:szCs w:val="22"/>
        </w:rPr>
        <w:t>provides</w:t>
      </w:r>
      <w:r w:rsidR="008B6DDD">
        <w:rPr>
          <w:sz w:val="22"/>
          <w:szCs w:val="22"/>
        </w:rPr>
        <w:t xml:space="preserve"> and the longer time UE needs to wait for the next service.</w:t>
      </w:r>
    </w:p>
    <w:p w14:paraId="73FC99E9" w14:textId="1C428AB5" w:rsidR="008B6DDD" w:rsidRPr="008B6DDD" w:rsidRDefault="008B6DDD" w:rsidP="00C32CE2">
      <w:pPr>
        <w:rPr>
          <w:b/>
          <w:bCs/>
          <w:sz w:val="22"/>
          <w:szCs w:val="22"/>
        </w:rPr>
      </w:pPr>
      <w:r w:rsidRPr="008B6DDD">
        <w:rPr>
          <w:b/>
          <w:bCs/>
          <w:sz w:val="22"/>
          <w:szCs w:val="22"/>
        </w:rPr>
        <w:t>Observation 2: UE can predict coverage discontinuity based on ephemeris with orbital information and elevation angle threshold of a satellite.</w:t>
      </w:r>
    </w:p>
    <w:p w14:paraId="394ADCBE" w14:textId="280FED0E" w:rsidR="004266D7" w:rsidRDefault="008B6DDD" w:rsidP="00C32CE2">
      <w:pPr>
        <w:rPr>
          <w:sz w:val="22"/>
          <w:szCs w:val="22"/>
        </w:rPr>
      </w:pPr>
      <w:r>
        <w:rPr>
          <w:sz w:val="22"/>
          <w:szCs w:val="22"/>
        </w:rPr>
        <w:t xml:space="preserve">Either elevation angle threshold or </w:t>
      </w:r>
      <w:r w:rsidRPr="008B6DDD">
        <w:rPr>
          <w:sz w:val="22"/>
          <w:szCs w:val="22"/>
        </w:rPr>
        <w:t>geometrical coverage radius of a satellite</w:t>
      </w:r>
      <w:r>
        <w:rPr>
          <w:sz w:val="22"/>
          <w:szCs w:val="22"/>
        </w:rPr>
        <w:t xml:space="preserve"> can describe a clear </w:t>
      </w:r>
      <w:r w:rsidR="008F4021">
        <w:rPr>
          <w:sz w:val="22"/>
          <w:szCs w:val="22"/>
        </w:rPr>
        <w:t xml:space="preserve">serving </w:t>
      </w:r>
      <w:r>
        <w:rPr>
          <w:sz w:val="22"/>
          <w:szCs w:val="22"/>
        </w:rPr>
        <w:t xml:space="preserve">area, </w:t>
      </w:r>
      <w:r w:rsidR="001C0B95">
        <w:rPr>
          <w:sz w:val="22"/>
          <w:szCs w:val="22"/>
        </w:rPr>
        <w:t xml:space="preserve">and </w:t>
      </w:r>
      <w:r>
        <w:rPr>
          <w:sz w:val="22"/>
          <w:szCs w:val="22"/>
        </w:rPr>
        <w:t xml:space="preserve">with the </w:t>
      </w:r>
      <w:r w:rsidR="008F4021" w:rsidRPr="008F4021">
        <w:rPr>
          <w:sz w:val="22"/>
          <w:szCs w:val="22"/>
        </w:rPr>
        <w:t>orbital information</w:t>
      </w:r>
      <w:r w:rsidR="008F4021">
        <w:rPr>
          <w:sz w:val="22"/>
          <w:szCs w:val="22"/>
        </w:rPr>
        <w:t xml:space="preserve">, UE can also predict the coverage </w:t>
      </w:r>
      <w:r w:rsidR="008F4021" w:rsidRPr="00EC0DF0">
        <w:rPr>
          <w:sz w:val="22"/>
          <w:szCs w:val="22"/>
        </w:rPr>
        <w:t>discontinuity</w:t>
      </w:r>
      <w:r w:rsidR="008F4021">
        <w:rPr>
          <w:sz w:val="22"/>
          <w:szCs w:val="22"/>
        </w:rPr>
        <w:t xml:space="preserve">. As this is for idle mode, elevation angle threshold or </w:t>
      </w:r>
      <w:r w:rsidR="008F4021" w:rsidRPr="008B6DDD">
        <w:rPr>
          <w:sz w:val="22"/>
          <w:szCs w:val="22"/>
        </w:rPr>
        <w:t>geometrical coverage radius</w:t>
      </w:r>
      <w:r w:rsidR="008F4021">
        <w:rPr>
          <w:sz w:val="22"/>
          <w:szCs w:val="22"/>
        </w:rPr>
        <w:t xml:space="preserve"> should be provided in SIB.</w:t>
      </w:r>
    </w:p>
    <w:p w14:paraId="62B90FDD" w14:textId="6DEEAC2F" w:rsidR="007E6240" w:rsidRDefault="008F4021" w:rsidP="00C32CE2">
      <w:pPr>
        <w:rPr>
          <w:sz w:val="22"/>
          <w:szCs w:val="22"/>
        </w:rPr>
      </w:pPr>
      <w:r w:rsidRPr="008F4021">
        <w:rPr>
          <w:b/>
          <w:bCs/>
          <w:sz w:val="22"/>
          <w:szCs w:val="22"/>
        </w:rPr>
        <w:t>Proposal 1: elevation angle threshold or geometrical coverage radius should be provided</w:t>
      </w:r>
      <w:r w:rsidR="005A6732">
        <w:rPr>
          <w:b/>
          <w:bCs/>
          <w:sz w:val="22"/>
          <w:szCs w:val="22"/>
        </w:rPr>
        <w:t xml:space="preserve"> to UE</w:t>
      </w:r>
      <w:r w:rsidRPr="008F4021">
        <w:rPr>
          <w:b/>
          <w:bCs/>
          <w:sz w:val="22"/>
          <w:szCs w:val="22"/>
        </w:rPr>
        <w:t xml:space="preserve"> in SIB to enable prediction of coverage discontinuity.</w:t>
      </w:r>
    </w:p>
    <w:p w14:paraId="14278B5F" w14:textId="09544608" w:rsidR="00F30CEB" w:rsidRDefault="00F30CEB" w:rsidP="00C32CE2">
      <w:pPr>
        <w:rPr>
          <w:sz w:val="22"/>
          <w:szCs w:val="22"/>
        </w:rPr>
      </w:pPr>
      <w:r>
        <w:rPr>
          <w:sz w:val="22"/>
          <w:szCs w:val="22"/>
        </w:rPr>
        <w:t xml:space="preserve">When UE is out of coverage, there is no downlink signal, e.g. SSB, for UE to detect. So every action UE does in this period is useless, the best way for UE is to “sleep” or “hibernate” when out of coverage. When UE is close to serving area, and it can be served by a satellite </w:t>
      </w:r>
      <w:r w:rsidR="00060FE5">
        <w:rPr>
          <w:sz w:val="22"/>
          <w:szCs w:val="22"/>
        </w:rPr>
        <w:t xml:space="preserve">later </w:t>
      </w:r>
      <w:r>
        <w:rPr>
          <w:sz w:val="22"/>
          <w:szCs w:val="22"/>
        </w:rPr>
        <w:t>again, then UE should “wake up” and perform cell selection again. But this can be left up to UE implementation, and no specification work is really needed.</w:t>
      </w:r>
    </w:p>
    <w:p w14:paraId="2CBCC258" w14:textId="3CD19A19" w:rsidR="00F30CEB" w:rsidRPr="00F30CEB" w:rsidRDefault="00F30CEB" w:rsidP="00C32CE2">
      <w:pPr>
        <w:rPr>
          <w:b/>
          <w:bCs/>
          <w:sz w:val="22"/>
          <w:szCs w:val="22"/>
        </w:rPr>
      </w:pPr>
      <w:r w:rsidRPr="00F30CEB">
        <w:rPr>
          <w:b/>
          <w:bCs/>
          <w:sz w:val="22"/>
          <w:szCs w:val="22"/>
        </w:rPr>
        <w:t xml:space="preserve">Proposal 2: it is up to UE implementation for actions when </w:t>
      </w:r>
      <w:r w:rsidR="00060FE5">
        <w:rPr>
          <w:b/>
          <w:bCs/>
          <w:sz w:val="22"/>
          <w:szCs w:val="22"/>
        </w:rPr>
        <w:t>UE is</w:t>
      </w:r>
      <w:r w:rsidRPr="00F30CEB">
        <w:rPr>
          <w:b/>
          <w:bCs/>
          <w:sz w:val="22"/>
          <w:szCs w:val="22"/>
        </w:rPr>
        <w:t xml:space="preserve"> out of coverage.</w:t>
      </w:r>
    </w:p>
    <w:p w14:paraId="7A94F4C8" w14:textId="78146C3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00A4F195" w14:textId="707B3F1E" w:rsidR="003D02C6" w:rsidRDefault="00932F0E" w:rsidP="58EC049B">
      <w:pPr>
        <w:rPr>
          <w:lang w:val="en-US"/>
        </w:rPr>
      </w:pPr>
      <w:r w:rsidRPr="00932F0E">
        <w:rPr>
          <w:lang w:val="en-US"/>
        </w:rPr>
        <w:t xml:space="preserve">In this paper, we further discuss </w:t>
      </w:r>
      <w:r w:rsidR="00D77835" w:rsidRPr="00D77835">
        <w:rPr>
          <w:lang w:val="en-US"/>
        </w:rPr>
        <w:t xml:space="preserve">remaining issues on </w:t>
      </w:r>
      <w:r w:rsidR="005A6732">
        <w:rPr>
          <w:lang w:val="en-US"/>
        </w:rPr>
        <w:t>non continuous coverage</w:t>
      </w:r>
      <w:r w:rsidRPr="00932F0E">
        <w:rPr>
          <w:lang w:val="en-US"/>
        </w:rPr>
        <w:t xml:space="preserve">, and we have the following </w:t>
      </w:r>
      <w:r w:rsidR="005A6732">
        <w:rPr>
          <w:lang w:val="en-US"/>
        </w:rPr>
        <w:t>observations</w:t>
      </w:r>
      <w:r w:rsidRPr="00932F0E">
        <w:rPr>
          <w:lang w:val="en-US"/>
        </w:rPr>
        <w:t>:</w:t>
      </w:r>
    </w:p>
    <w:p w14:paraId="56908828" w14:textId="77777777" w:rsidR="005A6732" w:rsidRPr="00EC0DF0" w:rsidRDefault="005A6732" w:rsidP="005A6732">
      <w:pPr>
        <w:pStyle w:val="TF"/>
        <w:jc w:val="left"/>
        <w:rPr>
          <w:rFonts w:ascii="Times New Roman" w:eastAsia="Malgun Gothic" w:hAnsi="Times New Roman"/>
          <w:bCs/>
          <w:sz w:val="22"/>
          <w:szCs w:val="22"/>
        </w:rPr>
      </w:pPr>
      <w:r w:rsidRPr="00EC0DF0">
        <w:rPr>
          <w:rFonts w:ascii="Times New Roman" w:eastAsia="Malgun Gothic" w:hAnsi="Times New Roman"/>
          <w:bCs/>
          <w:sz w:val="22"/>
          <w:szCs w:val="22"/>
        </w:rPr>
        <w:t>Observation 1: UE can predict coverage discontinuity based on ephemeris with orbital information and geometrical coverage radius of a satellite.</w:t>
      </w:r>
    </w:p>
    <w:p w14:paraId="62FFD5FF" w14:textId="77777777" w:rsidR="005A6732" w:rsidRPr="008B6DDD" w:rsidRDefault="005A6732" w:rsidP="005A6732">
      <w:pPr>
        <w:rPr>
          <w:b/>
          <w:bCs/>
          <w:sz w:val="22"/>
          <w:szCs w:val="22"/>
        </w:rPr>
      </w:pPr>
      <w:r w:rsidRPr="008B6DDD">
        <w:rPr>
          <w:b/>
          <w:bCs/>
          <w:sz w:val="22"/>
          <w:szCs w:val="22"/>
        </w:rPr>
        <w:t>Observation 2: UE can predict coverage discontinuity based on ephemeris with orbital information and elevation angle threshold of a satellite.</w:t>
      </w:r>
    </w:p>
    <w:p w14:paraId="433154D7" w14:textId="4690F3BA" w:rsidR="005A6732" w:rsidRPr="005A6732" w:rsidRDefault="005A6732" w:rsidP="58EC049B">
      <w:r>
        <w:t>And we propose:</w:t>
      </w:r>
    </w:p>
    <w:p w14:paraId="73F540E5" w14:textId="77777777" w:rsidR="005A6732" w:rsidRDefault="005A6732" w:rsidP="005A6732">
      <w:pPr>
        <w:rPr>
          <w:sz w:val="22"/>
          <w:szCs w:val="22"/>
        </w:rPr>
      </w:pPr>
      <w:r w:rsidRPr="008F4021">
        <w:rPr>
          <w:b/>
          <w:bCs/>
          <w:sz w:val="22"/>
          <w:szCs w:val="22"/>
        </w:rPr>
        <w:lastRenderedPageBreak/>
        <w:t>Proposal 1: elevation angle threshold or geometrical coverage radius should be provided</w:t>
      </w:r>
      <w:r>
        <w:rPr>
          <w:b/>
          <w:bCs/>
          <w:sz w:val="22"/>
          <w:szCs w:val="22"/>
        </w:rPr>
        <w:t xml:space="preserve"> to UE</w:t>
      </w:r>
      <w:r w:rsidRPr="008F4021">
        <w:rPr>
          <w:b/>
          <w:bCs/>
          <w:sz w:val="22"/>
          <w:szCs w:val="22"/>
        </w:rPr>
        <w:t xml:space="preserve"> in SIB to enable prediction of coverage discontinuity.</w:t>
      </w:r>
    </w:p>
    <w:p w14:paraId="2207EC6F" w14:textId="19B61C16" w:rsidR="00344C56" w:rsidRDefault="005A6732" w:rsidP="00932F0E">
      <w:pPr>
        <w:rPr>
          <w:b/>
          <w:bCs/>
          <w:sz w:val="22"/>
          <w:szCs w:val="22"/>
        </w:rPr>
      </w:pPr>
      <w:r w:rsidRPr="00F30CEB">
        <w:rPr>
          <w:b/>
          <w:bCs/>
          <w:sz w:val="22"/>
          <w:szCs w:val="22"/>
        </w:rPr>
        <w:t xml:space="preserve">Proposal 2: it is up to UE implementation for actions when </w:t>
      </w:r>
      <w:r w:rsidR="00060FE5">
        <w:rPr>
          <w:b/>
          <w:bCs/>
          <w:sz w:val="22"/>
          <w:szCs w:val="22"/>
        </w:rPr>
        <w:t>UE is</w:t>
      </w:r>
      <w:r w:rsidRPr="00F30CEB">
        <w:rPr>
          <w:b/>
          <w:bCs/>
          <w:sz w:val="22"/>
          <w:szCs w:val="22"/>
        </w:rPr>
        <w:t xml:space="preserve"> out of coverage.</w:t>
      </w:r>
    </w:p>
    <w:p w14:paraId="70D75F2F" w14:textId="08C7F7A2" w:rsidR="00344C56" w:rsidRDefault="00344C56" w:rsidP="00344C56">
      <w:pPr>
        <w:pStyle w:val="Heading1"/>
        <w:numPr>
          <w:ilvl w:val="0"/>
          <w:numId w:val="2"/>
        </w:numPr>
      </w:pPr>
      <w:r>
        <w:t>Reference</w:t>
      </w:r>
      <w:r w:rsidR="00F70374">
        <w:t>s</w:t>
      </w:r>
    </w:p>
    <w:p w14:paraId="152ABCAF" w14:textId="335F9D29" w:rsidR="00344C56" w:rsidRDefault="00344C56" w:rsidP="00344C56">
      <w:pPr>
        <w:ind w:left="1440" w:hanging="1440"/>
        <w:rPr>
          <w:b/>
          <w:bCs/>
          <w:sz w:val="22"/>
          <w:szCs w:val="22"/>
        </w:rPr>
      </w:pPr>
      <w:r>
        <w:t xml:space="preserve">[1] </w:t>
      </w:r>
      <w:r w:rsidR="00F30CEB" w:rsidRPr="00F30CEB">
        <w:t>TR 23.737</w:t>
      </w:r>
      <w:r>
        <w:tab/>
      </w:r>
      <w:r w:rsidR="00F30CEB" w:rsidRPr="00F30CEB">
        <w:t>Study on architecture aspects for using satellite access in 5G</w:t>
      </w:r>
    </w:p>
    <w:p w14:paraId="51752851" w14:textId="77777777" w:rsidR="00932F0E" w:rsidRPr="00932F0E" w:rsidRDefault="00932F0E" w:rsidP="58EC049B">
      <w:pPr>
        <w:rPr>
          <w:b/>
          <w:bCs/>
        </w:rPr>
      </w:pPr>
    </w:p>
    <w:sectPr w:rsidR="00932F0E" w:rsidRPr="00932F0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0CADC" w14:textId="77777777" w:rsidR="00576722" w:rsidRDefault="00576722" w:rsidP="00DD7929">
      <w:pPr>
        <w:spacing w:after="0"/>
      </w:pPr>
      <w:r>
        <w:separator/>
      </w:r>
    </w:p>
  </w:endnote>
  <w:endnote w:type="continuationSeparator" w:id="0">
    <w:p w14:paraId="3B463DA7" w14:textId="77777777" w:rsidR="00576722" w:rsidRDefault="00576722" w:rsidP="00DD7929">
      <w:pPr>
        <w:spacing w:after="0"/>
      </w:pPr>
      <w:r>
        <w:continuationSeparator/>
      </w:r>
    </w:p>
  </w:endnote>
  <w:endnote w:type="continuationNotice" w:id="1">
    <w:p w14:paraId="7ED037B7" w14:textId="77777777" w:rsidR="00576722" w:rsidRDefault="00576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681CD" w14:textId="77777777" w:rsidR="00F70374" w:rsidRDefault="00F70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F76B1" w14:textId="77777777" w:rsidR="00F70374" w:rsidRDefault="00F7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A7696" w14:textId="77777777" w:rsidR="00576722" w:rsidRDefault="00576722" w:rsidP="00DD7929">
      <w:pPr>
        <w:spacing w:after="0"/>
      </w:pPr>
      <w:r>
        <w:separator/>
      </w:r>
    </w:p>
  </w:footnote>
  <w:footnote w:type="continuationSeparator" w:id="0">
    <w:p w14:paraId="7B4CA6E7" w14:textId="77777777" w:rsidR="00576722" w:rsidRDefault="00576722" w:rsidP="00DD7929">
      <w:pPr>
        <w:spacing w:after="0"/>
      </w:pPr>
      <w:r>
        <w:continuationSeparator/>
      </w:r>
    </w:p>
  </w:footnote>
  <w:footnote w:type="continuationNotice" w:id="1">
    <w:p w14:paraId="4C0CD8E7" w14:textId="77777777" w:rsidR="00576722" w:rsidRDefault="00576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D11EA" w14:textId="77777777" w:rsidR="00F70374" w:rsidRDefault="00F70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3C14B" w14:textId="77777777" w:rsidR="00F70374" w:rsidRDefault="00F70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2"/>
  </w:num>
  <w:num w:numId="4">
    <w:abstractNumId w:val="27"/>
  </w:num>
  <w:num w:numId="5">
    <w:abstractNumId w:val="15"/>
  </w:num>
  <w:num w:numId="6">
    <w:abstractNumId w:val="29"/>
  </w:num>
  <w:num w:numId="7">
    <w:abstractNumId w:val="12"/>
  </w:num>
  <w:num w:numId="8">
    <w:abstractNumId w:val="24"/>
  </w:num>
  <w:num w:numId="9">
    <w:abstractNumId w:val="9"/>
  </w:num>
  <w:num w:numId="10">
    <w:abstractNumId w:val="35"/>
  </w:num>
  <w:num w:numId="11">
    <w:abstractNumId w:val="30"/>
  </w:num>
  <w:num w:numId="12">
    <w:abstractNumId w:val="6"/>
  </w:num>
  <w:num w:numId="13">
    <w:abstractNumId w:val="36"/>
  </w:num>
  <w:num w:numId="14">
    <w:abstractNumId w:val="21"/>
  </w:num>
  <w:num w:numId="15">
    <w:abstractNumId w:val="23"/>
  </w:num>
  <w:num w:numId="16">
    <w:abstractNumId w:val="10"/>
  </w:num>
  <w:num w:numId="17">
    <w:abstractNumId w:val="17"/>
  </w:num>
  <w:num w:numId="18">
    <w:abstractNumId w:val="11"/>
  </w:num>
  <w:num w:numId="19">
    <w:abstractNumId w:val="4"/>
  </w:num>
  <w:num w:numId="20">
    <w:abstractNumId w:val="32"/>
  </w:num>
  <w:num w:numId="21">
    <w:abstractNumId w:val="34"/>
  </w:num>
  <w:num w:numId="22">
    <w:abstractNumId w:val="7"/>
  </w:num>
  <w:num w:numId="23">
    <w:abstractNumId w:val="19"/>
  </w:num>
  <w:num w:numId="24">
    <w:abstractNumId w:val="3"/>
  </w:num>
  <w:num w:numId="25">
    <w:abstractNumId w:val="8"/>
  </w:num>
  <w:num w:numId="26">
    <w:abstractNumId w:val="25"/>
  </w:num>
  <w:num w:numId="27">
    <w:abstractNumId w:val="28"/>
  </w:num>
  <w:num w:numId="28">
    <w:abstractNumId w:val="13"/>
  </w:num>
  <w:num w:numId="29">
    <w:abstractNumId w:val="1"/>
  </w:num>
  <w:num w:numId="30">
    <w:abstractNumId w:val="2"/>
  </w:num>
  <w:num w:numId="31">
    <w:abstractNumId w:val="37"/>
  </w:num>
  <w:num w:numId="32">
    <w:abstractNumId w:val="0"/>
  </w:num>
  <w:num w:numId="33">
    <w:abstractNumId w:val="5"/>
  </w:num>
  <w:num w:numId="34">
    <w:abstractNumId w:val="26"/>
  </w:num>
  <w:num w:numId="35">
    <w:abstractNumId w:val="18"/>
  </w:num>
  <w:num w:numId="36">
    <w:abstractNumId w:val="33"/>
  </w:num>
  <w:num w:numId="37">
    <w:abstractNumId w:val="3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2C6D"/>
    <w:rsid w:val="000E66B7"/>
    <w:rsid w:val="000E760F"/>
    <w:rsid w:val="000F1CE8"/>
    <w:rsid w:val="000F6981"/>
    <w:rsid w:val="001013D3"/>
    <w:rsid w:val="0010160E"/>
    <w:rsid w:val="001017B8"/>
    <w:rsid w:val="00101A72"/>
    <w:rsid w:val="00102F76"/>
    <w:rsid w:val="001030D8"/>
    <w:rsid w:val="00103307"/>
    <w:rsid w:val="00104CFA"/>
    <w:rsid w:val="00104FE8"/>
    <w:rsid w:val="00106ABA"/>
    <w:rsid w:val="001110DC"/>
    <w:rsid w:val="00113BFE"/>
    <w:rsid w:val="001156FB"/>
    <w:rsid w:val="00115CCC"/>
    <w:rsid w:val="00124335"/>
    <w:rsid w:val="00125BD7"/>
    <w:rsid w:val="00133A31"/>
    <w:rsid w:val="00134120"/>
    <w:rsid w:val="00134957"/>
    <w:rsid w:val="001401DE"/>
    <w:rsid w:val="0014119B"/>
    <w:rsid w:val="0014360E"/>
    <w:rsid w:val="00143A18"/>
    <w:rsid w:val="00144AB5"/>
    <w:rsid w:val="00147E68"/>
    <w:rsid w:val="0015051A"/>
    <w:rsid w:val="00150908"/>
    <w:rsid w:val="0015152C"/>
    <w:rsid w:val="00151F1C"/>
    <w:rsid w:val="0015259F"/>
    <w:rsid w:val="00153512"/>
    <w:rsid w:val="00154516"/>
    <w:rsid w:val="00154665"/>
    <w:rsid w:val="0016090C"/>
    <w:rsid w:val="00165EDA"/>
    <w:rsid w:val="001660D1"/>
    <w:rsid w:val="00167FC9"/>
    <w:rsid w:val="00170383"/>
    <w:rsid w:val="001719C1"/>
    <w:rsid w:val="0017222C"/>
    <w:rsid w:val="001743C4"/>
    <w:rsid w:val="00174C46"/>
    <w:rsid w:val="001753FE"/>
    <w:rsid w:val="001771B5"/>
    <w:rsid w:val="001772FB"/>
    <w:rsid w:val="00190069"/>
    <w:rsid w:val="00191BF3"/>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DFD"/>
    <w:rsid w:val="001E4E20"/>
    <w:rsid w:val="001E5908"/>
    <w:rsid w:val="001E6A68"/>
    <w:rsid w:val="001E7080"/>
    <w:rsid w:val="001F1A02"/>
    <w:rsid w:val="001F2B40"/>
    <w:rsid w:val="001F3EA7"/>
    <w:rsid w:val="001F4708"/>
    <w:rsid w:val="001F6228"/>
    <w:rsid w:val="001F7796"/>
    <w:rsid w:val="00201241"/>
    <w:rsid w:val="0020420D"/>
    <w:rsid w:val="002064A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523"/>
    <w:rsid w:val="00244F38"/>
    <w:rsid w:val="00245419"/>
    <w:rsid w:val="00245444"/>
    <w:rsid w:val="00245558"/>
    <w:rsid w:val="00245B02"/>
    <w:rsid w:val="00250C13"/>
    <w:rsid w:val="00251E8C"/>
    <w:rsid w:val="00251F6E"/>
    <w:rsid w:val="0025531E"/>
    <w:rsid w:val="00256178"/>
    <w:rsid w:val="002565B9"/>
    <w:rsid w:val="00256C02"/>
    <w:rsid w:val="00257E4C"/>
    <w:rsid w:val="00260906"/>
    <w:rsid w:val="00265960"/>
    <w:rsid w:val="00271095"/>
    <w:rsid w:val="002716BD"/>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4C56"/>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E0206"/>
    <w:rsid w:val="003E1BE6"/>
    <w:rsid w:val="003E513F"/>
    <w:rsid w:val="003E6C26"/>
    <w:rsid w:val="003E6EC2"/>
    <w:rsid w:val="003F0846"/>
    <w:rsid w:val="003F0C4D"/>
    <w:rsid w:val="003F4495"/>
    <w:rsid w:val="003F4DE6"/>
    <w:rsid w:val="003F5DFA"/>
    <w:rsid w:val="003F6CCB"/>
    <w:rsid w:val="004002A4"/>
    <w:rsid w:val="00402B1A"/>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1A72"/>
    <w:rsid w:val="00473872"/>
    <w:rsid w:val="004743E4"/>
    <w:rsid w:val="0047474E"/>
    <w:rsid w:val="004809FB"/>
    <w:rsid w:val="0048286F"/>
    <w:rsid w:val="00482F82"/>
    <w:rsid w:val="00486A72"/>
    <w:rsid w:val="00486BFB"/>
    <w:rsid w:val="00491AC3"/>
    <w:rsid w:val="004922B0"/>
    <w:rsid w:val="00492701"/>
    <w:rsid w:val="00492997"/>
    <w:rsid w:val="00493E8B"/>
    <w:rsid w:val="00494887"/>
    <w:rsid w:val="00495E98"/>
    <w:rsid w:val="004972EF"/>
    <w:rsid w:val="00497C2A"/>
    <w:rsid w:val="004A055C"/>
    <w:rsid w:val="004A3F4E"/>
    <w:rsid w:val="004A638D"/>
    <w:rsid w:val="004A7AF9"/>
    <w:rsid w:val="004B1E82"/>
    <w:rsid w:val="004B3CF6"/>
    <w:rsid w:val="004B53BC"/>
    <w:rsid w:val="004C1E8F"/>
    <w:rsid w:val="004C2413"/>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1810"/>
    <w:rsid w:val="00521A7F"/>
    <w:rsid w:val="00523B51"/>
    <w:rsid w:val="00526440"/>
    <w:rsid w:val="00526FCD"/>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6722"/>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71C39"/>
    <w:rsid w:val="00671DDC"/>
    <w:rsid w:val="0067283C"/>
    <w:rsid w:val="0067348B"/>
    <w:rsid w:val="0067370F"/>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C83"/>
    <w:rsid w:val="00711097"/>
    <w:rsid w:val="00716BFF"/>
    <w:rsid w:val="0071757D"/>
    <w:rsid w:val="00717B1D"/>
    <w:rsid w:val="007208CC"/>
    <w:rsid w:val="0072218E"/>
    <w:rsid w:val="00722F34"/>
    <w:rsid w:val="007246A5"/>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240"/>
    <w:rsid w:val="007E6A0D"/>
    <w:rsid w:val="007F419C"/>
    <w:rsid w:val="007F4243"/>
    <w:rsid w:val="007F510D"/>
    <w:rsid w:val="00802397"/>
    <w:rsid w:val="00803146"/>
    <w:rsid w:val="0081035D"/>
    <w:rsid w:val="00811508"/>
    <w:rsid w:val="008126CA"/>
    <w:rsid w:val="00813892"/>
    <w:rsid w:val="00814011"/>
    <w:rsid w:val="0081599A"/>
    <w:rsid w:val="0081651C"/>
    <w:rsid w:val="00820503"/>
    <w:rsid w:val="008206AA"/>
    <w:rsid w:val="00822544"/>
    <w:rsid w:val="00824D06"/>
    <w:rsid w:val="00826415"/>
    <w:rsid w:val="008279E8"/>
    <w:rsid w:val="0083280D"/>
    <w:rsid w:val="00832EF8"/>
    <w:rsid w:val="0083323B"/>
    <w:rsid w:val="00833B2D"/>
    <w:rsid w:val="00836B29"/>
    <w:rsid w:val="0083757D"/>
    <w:rsid w:val="00837950"/>
    <w:rsid w:val="008414D4"/>
    <w:rsid w:val="00841C68"/>
    <w:rsid w:val="00844F39"/>
    <w:rsid w:val="00844F6A"/>
    <w:rsid w:val="0084618A"/>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3570"/>
    <w:rsid w:val="008E4C66"/>
    <w:rsid w:val="008E7993"/>
    <w:rsid w:val="008F1823"/>
    <w:rsid w:val="008F2DA2"/>
    <w:rsid w:val="008F4021"/>
    <w:rsid w:val="008F55A1"/>
    <w:rsid w:val="008F6935"/>
    <w:rsid w:val="008F6C50"/>
    <w:rsid w:val="008F75EF"/>
    <w:rsid w:val="0090115F"/>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7F10"/>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5B8F"/>
    <w:rsid w:val="009E05A9"/>
    <w:rsid w:val="009E0E5D"/>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669D3"/>
    <w:rsid w:val="00A73C0C"/>
    <w:rsid w:val="00A7416B"/>
    <w:rsid w:val="00A77EC8"/>
    <w:rsid w:val="00A806CB"/>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B733F"/>
    <w:rsid w:val="00AC0A20"/>
    <w:rsid w:val="00AC0B67"/>
    <w:rsid w:val="00AC1089"/>
    <w:rsid w:val="00AC1FC3"/>
    <w:rsid w:val="00AC38B9"/>
    <w:rsid w:val="00AC483F"/>
    <w:rsid w:val="00AD0744"/>
    <w:rsid w:val="00AD1367"/>
    <w:rsid w:val="00AD1A98"/>
    <w:rsid w:val="00AD3C6D"/>
    <w:rsid w:val="00AD6A5B"/>
    <w:rsid w:val="00AD7A92"/>
    <w:rsid w:val="00AD7ACB"/>
    <w:rsid w:val="00AE1006"/>
    <w:rsid w:val="00AE3F75"/>
    <w:rsid w:val="00AE3F8B"/>
    <w:rsid w:val="00AE5685"/>
    <w:rsid w:val="00AE7979"/>
    <w:rsid w:val="00AF3800"/>
    <w:rsid w:val="00AF6414"/>
    <w:rsid w:val="00B0131D"/>
    <w:rsid w:val="00B0254F"/>
    <w:rsid w:val="00B0679F"/>
    <w:rsid w:val="00B06EA4"/>
    <w:rsid w:val="00B1063F"/>
    <w:rsid w:val="00B10C54"/>
    <w:rsid w:val="00B1468D"/>
    <w:rsid w:val="00B15C44"/>
    <w:rsid w:val="00B15D28"/>
    <w:rsid w:val="00B21EB9"/>
    <w:rsid w:val="00B22F5A"/>
    <w:rsid w:val="00B233FD"/>
    <w:rsid w:val="00B2508B"/>
    <w:rsid w:val="00B2566B"/>
    <w:rsid w:val="00B261E5"/>
    <w:rsid w:val="00B301DE"/>
    <w:rsid w:val="00B34C2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EF9"/>
    <w:rsid w:val="00BA4BF4"/>
    <w:rsid w:val="00BA6B09"/>
    <w:rsid w:val="00BB0074"/>
    <w:rsid w:val="00BB1164"/>
    <w:rsid w:val="00BB37B0"/>
    <w:rsid w:val="00BB5BA6"/>
    <w:rsid w:val="00BB6256"/>
    <w:rsid w:val="00BC4B6D"/>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D64"/>
    <w:rsid w:val="00C24B52"/>
    <w:rsid w:val="00C25520"/>
    <w:rsid w:val="00C261F4"/>
    <w:rsid w:val="00C273BF"/>
    <w:rsid w:val="00C31DCE"/>
    <w:rsid w:val="00C32334"/>
    <w:rsid w:val="00C32CE2"/>
    <w:rsid w:val="00C35D35"/>
    <w:rsid w:val="00C36F8A"/>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1DAA"/>
    <w:rsid w:val="00D62C2C"/>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2981"/>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110"/>
    <w:rsid w:val="00E74450"/>
    <w:rsid w:val="00E76457"/>
    <w:rsid w:val="00E80FD5"/>
    <w:rsid w:val="00E8182D"/>
    <w:rsid w:val="00E81FEF"/>
    <w:rsid w:val="00E851E8"/>
    <w:rsid w:val="00E85D4A"/>
    <w:rsid w:val="00E86E72"/>
    <w:rsid w:val="00E878C8"/>
    <w:rsid w:val="00E90616"/>
    <w:rsid w:val="00E944F5"/>
    <w:rsid w:val="00E94E13"/>
    <w:rsid w:val="00E95C54"/>
    <w:rsid w:val="00EA13CD"/>
    <w:rsid w:val="00EA38AE"/>
    <w:rsid w:val="00EA7211"/>
    <w:rsid w:val="00EB4D67"/>
    <w:rsid w:val="00EB76AD"/>
    <w:rsid w:val="00EC0DF0"/>
    <w:rsid w:val="00EC1071"/>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977"/>
    <w:rsid w:val="00F436E3"/>
    <w:rsid w:val="00F46BB0"/>
    <w:rsid w:val="00F476CE"/>
    <w:rsid w:val="00F47B2A"/>
    <w:rsid w:val="00F5147A"/>
    <w:rsid w:val="00F60CCD"/>
    <w:rsid w:val="00F646D9"/>
    <w:rsid w:val="00F64A14"/>
    <w:rsid w:val="00F665B7"/>
    <w:rsid w:val="00F67005"/>
    <w:rsid w:val="00F70374"/>
    <w:rsid w:val="00F73A49"/>
    <w:rsid w:val="00F759A1"/>
    <w:rsid w:val="00F75ADB"/>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8BE"/>
    <w:rsid w:val="00FB2CE7"/>
    <w:rsid w:val="00FB3057"/>
    <w:rsid w:val="00FB3EFB"/>
    <w:rsid w:val="00FB4FCF"/>
    <w:rsid w:val="00FB5EC4"/>
    <w:rsid w:val="00FB6349"/>
    <w:rsid w:val="00FB7234"/>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37"/>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6157</TotalTime>
  <Pages>4</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119</cp:revision>
  <dcterms:created xsi:type="dcterms:W3CDTF">2021-10-08T16:24:00Z</dcterms:created>
  <dcterms:modified xsi:type="dcterms:W3CDTF">2021-10-21T14:49:00Z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